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643110780"/>
    <w:bookmarkEnd w:id="0"/>
    <w:p w:rsidR="00C6085D" w:rsidRPr="00B361F8" w:rsidRDefault="0028276D" w:rsidP="009E169A">
      <w:pPr>
        <w:tabs>
          <w:tab w:val="left" w:pos="1985"/>
        </w:tabs>
        <w:autoSpaceDE/>
        <w:autoSpaceDN/>
        <w:adjustRightInd/>
        <w:snapToGrid/>
        <w:rPr>
          <w:rFonts w:eastAsia="MS Mincho"/>
          <w:b/>
          <w:bCs/>
          <w:sz w:val="24"/>
          <w:szCs w:val="20"/>
        </w:rPr>
      </w:pPr>
      <w:r>
        <w:rPr>
          <w:rFonts w:eastAsia="MS Mincho"/>
          <w:b/>
          <w:bCs/>
          <w:sz w:val="24"/>
          <w:szCs w:val="20"/>
        </w:rPr>
        <w:object w:dxaOrig="9317" w:dyaOrig="13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685.5pt" o:ole="">
            <v:imagedata r:id="rId8" o:title=""/>
          </v:shape>
          <o:OLEObject Type="Embed" ProgID="Word.Document.12" ShapeID="_x0000_i1025" DrawAspect="Content" ObjectID="_1643117311" r:id="rId9">
            <o:FieldCodes>\s</o:FieldCodes>
          </o:OLEObject>
        </w:object>
      </w:r>
      <w:r w:rsidR="00C6085D" w:rsidRPr="00B361F8">
        <w:rPr>
          <w:rFonts w:eastAsia="MS Mincho"/>
          <w:b/>
          <w:bCs/>
          <w:sz w:val="24"/>
          <w:szCs w:val="20"/>
        </w:rPr>
        <w:t>Title:</w:t>
      </w:r>
      <w:r w:rsidR="00C6085D" w:rsidRPr="00B361F8">
        <w:rPr>
          <w:rFonts w:eastAsia="MS Mincho"/>
          <w:b/>
          <w:bCs/>
          <w:sz w:val="24"/>
          <w:szCs w:val="20"/>
        </w:rPr>
        <w:tab/>
      </w:r>
      <w:r w:rsidR="00E006DC">
        <w:rPr>
          <w:rFonts w:eastAsia="MS Mincho"/>
          <w:b/>
          <w:bCs/>
          <w:sz w:val="24"/>
          <w:szCs w:val="20"/>
        </w:rPr>
        <w:t>Blind HARQ retransmissions</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Document for:</w:t>
      </w:r>
      <w:r w:rsidRPr="00B361F8">
        <w:rPr>
          <w:rFonts w:eastAsia="MS Mincho"/>
          <w:b/>
          <w:bCs/>
          <w:sz w:val="24"/>
          <w:szCs w:val="20"/>
        </w:rPr>
        <w:tab/>
      </w:r>
      <w:r w:rsidR="00CC258A" w:rsidRPr="00B361F8">
        <w:rPr>
          <w:rFonts w:eastAsia="MS Mincho"/>
          <w:b/>
          <w:bCs/>
          <w:sz w:val="24"/>
          <w:szCs w:val="20"/>
        </w:rPr>
        <w:t>Discussion, Decision</w:t>
      </w:r>
    </w:p>
    <w:p w:rsidR="00D7536D" w:rsidRPr="00B361F8" w:rsidRDefault="004845AB"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bookmarkStart w:id="1" w:name="_Ref124589705"/>
      <w:bookmarkStart w:id="2" w:name="_Ref129681862"/>
      <w:r w:rsidRPr="00B361F8">
        <w:rPr>
          <w:rFonts w:ascii="Times New Roman" w:eastAsia="SimSun" w:hAnsi="Times New Roman"/>
          <w:b w:val="0"/>
          <w:bCs w:val="0"/>
          <w:sz w:val="36"/>
          <w:szCs w:val="20"/>
          <w:lang w:eastAsia="ja-JP"/>
        </w:rPr>
        <w:t>Introduction</w:t>
      </w:r>
      <w:bookmarkEnd w:id="1"/>
      <w:bookmarkEnd w:id="2"/>
    </w:p>
    <w:p w:rsidR="00B20E3B" w:rsidRPr="00886C29" w:rsidRDefault="00D5267A" w:rsidP="00505AFE">
      <w:pPr>
        <w:jc w:val="both"/>
      </w:pPr>
      <w:r>
        <w:t>The Tx UE behavior with respect to HARQ feedback was discussed in RAN1#99</w:t>
      </w:r>
      <w:r w:rsidR="00886C29">
        <w:t xml:space="preserve"> and RAN2#108</w:t>
      </w:r>
      <w:r w:rsidR="0022048A" w:rsidRPr="00B361F8">
        <w:t>.</w:t>
      </w:r>
      <w:r>
        <w:t xml:space="preserve"> </w:t>
      </w:r>
      <w:r w:rsidR="00886C29">
        <w:t>Amo</w:t>
      </w:r>
      <w:r>
        <w:t>n</w:t>
      </w:r>
      <w:r w:rsidR="00886C29">
        <w:t xml:space="preserve">g other aspects, both the </w:t>
      </w:r>
      <w:r w:rsidR="00804162">
        <w:t xml:space="preserve">3gpp working </w:t>
      </w:r>
      <w:r w:rsidR="00886C29">
        <w:t>groups generally assumed that under certain circumstance blind retransmissions could be made. However, exactly when and how the blind retransmissions are to be made is still not discussed. Since BRs are very much part of R16, we hope that RAN2 will address this missing part in the electronic meeting.</w:t>
      </w:r>
    </w:p>
    <w:p w:rsidR="001463A9" w:rsidRPr="00B361F8" w:rsidRDefault="004B0F1D"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Discussion</w:t>
      </w:r>
    </w:p>
    <w:p w:rsidR="00222CA9" w:rsidRDefault="00804162" w:rsidP="00222CA9">
      <w:pPr>
        <w:tabs>
          <w:tab w:val="num" w:pos="1440"/>
        </w:tabs>
        <w:autoSpaceDE/>
        <w:autoSpaceDN/>
        <w:adjustRightInd/>
        <w:snapToGrid/>
        <w:spacing w:after="0" w:line="216" w:lineRule="auto"/>
        <w:contextualSpacing/>
        <w:rPr>
          <w:color w:val="000000" w:themeColor="text1"/>
          <w:kern w:val="24"/>
          <w:szCs w:val="30"/>
        </w:rPr>
      </w:pPr>
      <w:r>
        <w:rPr>
          <w:color w:val="000000" w:themeColor="text1"/>
          <w:kern w:val="24"/>
          <w:szCs w:val="30"/>
        </w:rPr>
        <w:t xml:space="preserve">From NR V2X QoS fulfillment perspective, </w:t>
      </w:r>
      <w:r w:rsidRPr="00804162">
        <w:rPr>
          <w:color w:val="000000" w:themeColor="text1"/>
          <w:kern w:val="24"/>
          <w:szCs w:val="30"/>
        </w:rPr>
        <w:t xml:space="preserve">the minimum performance level should be </w:t>
      </w:r>
      <w:r>
        <w:rPr>
          <w:color w:val="000000" w:themeColor="text1"/>
          <w:kern w:val="24"/>
          <w:szCs w:val="30"/>
        </w:rPr>
        <w:t xml:space="preserve">same as that in </w:t>
      </w:r>
      <w:r w:rsidRPr="00804162">
        <w:rPr>
          <w:color w:val="000000" w:themeColor="text1"/>
          <w:kern w:val="24"/>
          <w:szCs w:val="30"/>
        </w:rPr>
        <w:t xml:space="preserve">the LTE </w:t>
      </w:r>
      <w:r>
        <w:rPr>
          <w:color w:val="000000" w:themeColor="text1"/>
          <w:kern w:val="24"/>
          <w:szCs w:val="30"/>
        </w:rPr>
        <w:t>V2X. Therefore, in no case just one shot transmission is to be made i.e. a single transmission without any re-transmission irrespective of whether some/ any receiver(s) have successfully decoded the data (PSSCH) or not.</w:t>
      </w:r>
      <w:r w:rsidR="008C4932">
        <w:rPr>
          <w:color w:val="000000" w:themeColor="text1"/>
          <w:kern w:val="24"/>
          <w:szCs w:val="30"/>
        </w:rPr>
        <w:t xml:space="preserve"> In LTE V2X reliability was assured using blind re-Transmissions.</w:t>
      </w:r>
      <w:r w:rsidRPr="00804162">
        <w:rPr>
          <w:color w:val="000000" w:themeColor="text1"/>
          <w:kern w:val="24"/>
          <w:szCs w:val="30"/>
        </w:rPr>
        <w:t xml:space="preserve"> </w:t>
      </w:r>
      <w:r w:rsidR="0013588C">
        <w:rPr>
          <w:color w:val="000000" w:themeColor="text1"/>
          <w:kern w:val="24"/>
          <w:szCs w:val="30"/>
        </w:rPr>
        <w:t xml:space="preserve">The HARQ feedback design in NR V2X </w:t>
      </w:r>
      <w:r w:rsidR="00165EBD">
        <w:rPr>
          <w:color w:val="000000" w:themeColor="text1"/>
          <w:kern w:val="24"/>
          <w:szCs w:val="30"/>
        </w:rPr>
        <w:t>is an optimization to make the system more efficient whenever possible. Blind re-transmissions may however still need to be made if the required reliability is very high and the latency (or more precisely remaining PDB) is not high enough to allow for feedback based retransmissions. Therefore, we assume that BRs are the baseline when feedback based retransmissions can’t or shouldn’t be made.</w:t>
      </w:r>
    </w:p>
    <w:p w:rsidR="00165EBD" w:rsidRDefault="00165EBD" w:rsidP="00222CA9">
      <w:pPr>
        <w:tabs>
          <w:tab w:val="num" w:pos="1440"/>
        </w:tabs>
        <w:autoSpaceDE/>
        <w:autoSpaceDN/>
        <w:adjustRightInd/>
        <w:snapToGrid/>
        <w:spacing w:after="0" w:line="216" w:lineRule="auto"/>
        <w:contextualSpacing/>
        <w:rPr>
          <w:color w:val="000000" w:themeColor="text1"/>
          <w:kern w:val="24"/>
          <w:szCs w:val="30"/>
        </w:rPr>
      </w:pPr>
    </w:p>
    <w:p w:rsidR="00165EBD" w:rsidRPr="000E6445" w:rsidRDefault="00165EBD" w:rsidP="00222CA9">
      <w:pPr>
        <w:tabs>
          <w:tab w:val="num" w:pos="1440"/>
        </w:tabs>
        <w:autoSpaceDE/>
        <w:autoSpaceDN/>
        <w:adjustRightInd/>
        <w:snapToGrid/>
        <w:spacing w:after="0" w:line="216" w:lineRule="auto"/>
        <w:contextualSpacing/>
        <w:rPr>
          <w:b/>
          <w:color w:val="0070C0"/>
          <w:kern w:val="24"/>
          <w:szCs w:val="30"/>
        </w:rPr>
      </w:pPr>
      <w:r w:rsidRPr="000E6445">
        <w:rPr>
          <w:b/>
          <w:color w:val="000000" w:themeColor="text1"/>
          <w:kern w:val="24"/>
          <w:szCs w:val="30"/>
        </w:rPr>
        <w:t>Proposal 1: One shot transmission is not made in NR V2X i.e. a single transmission without any re-transmission irrespective of whether some/ any receiver(s) have successfully decoded the data (PSSCH) or not, is not made by the transmitter UE.</w:t>
      </w:r>
    </w:p>
    <w:p w:rsidR="00E424BA" w:rsidRDefault="00E424BA" w:rsidP="000C30A6">
      <w:pPr>
        <w:spacing w:after="0"/>
      </w:pPr>
    </w:p>
    <w:p w:rsidR="005C77B5" w:rsidRPr="000E6445" w:rsidRDefault="005C77B5" w:rsidP="00950C9F">
      <w:pPr>
        <w:rPr>
          <w:b/>
          <w:color w:val="000000" w:themeColor="text1"/>
          <w:kern w:val="24"/>
          <w:szCs w:val="30"/>
        </w:rPr>
      </w:pPr>
      <w:r w:rsidRPr="000E6445">
        <w:rPr>
          <w:b/>
        </w:rPr>
        <w:t xml:space="preserve">Proposal 2: Blind retransmissions (BRs) are made when </w:t>
      </w:r>
      <w:r w:rsidRPr="000E6445">
        <w:rPr>
          <w:b/>
          <w:color w:val="000000" w:themeColor="text1"/>
          <w:kern w:val="24"/>
          <w:szCs w:val="30"/>
        </w:rPr>
        <w:t>feedback based retransmissions can’t or shouldn’t be made e.g. due to reliability and latency reasons.</w:t>
      </w:r>
    </w:p>
    <w:p w:rsidR="005C77B5" w:rsidRDefault="000E6445" w:rsidP="00950C9F">
      <w:r>
        <w:t>Next, who decides if the BRs are to be made and how? For this purpose, we think that the transmitter UE is in the best position to decide this since only the Tx UE knows the current buffer situation (e.g. which is the highest priority data) and that how long a data has been pending for transmission i.e. what is the remaining Packet Delay Budget etc. The decision needs to be made when the SL grant is presented based on the requirement for the highest priority LCH that has data pending for transmission.</w:t>
      </w:r>
    </w:p>
    <w:p w:rsidR="000E6445" w:rsidRDefault="000E6445" w:rsidP="00950C9F"/>
    <w:p w:rsidR="000E6445" w:rsidRPr="000E6445" w:rsidRDefault="000E6445" w:rsidP="00950C9F">
      <w:pPr>
        <w:rPr>
          <w:b/>
        </w:rPr>
      </w:pPr>
      <w:r w:rsidRPr="000E6445">
        <w:rPr>
          <w:b/>
        </w:rPr>
        <w:t>Proposal 3: The Transmitter UE decides if Blind retransmissions are to be made.</w:t>
      </w:r>
    </w:p>
    <w:p w:rsidR="00EE17F4" w:rsidRPr="00BC56FA" w:rsidRDefault="000E6445" w:rsidP="00EE17F4">
      <w:r>
        <w:t xml:space="preserve">How BRs can be carried out is </w:t>
      </w:r>
      <w:r w:rsidR="0023575C">
        <w:t xml:space="preserve">also discussed </w:t>
      </w:r>
      <w:r>
        <w:t>in our accompanying paper [1].</w:t>
      </w:r>
      <w:r w:rsidR="00711F43">
        <w:t xml:space="preserve"> </w:t>
      </w:r>
      <w:r w:rsidR="00012C53">
        <w:t xml:space="preserve">If the configured grants are available then the UE can make the BRs on its own. In Mode 2 transmission mode as well the UE can ensure BRs without depending on the network. </w:t>
      </w:r>
      <w:r w:rsidR="00EE17F4" w:rsidRPr="00BC56FA">
        <w:t>I</w:t>
      </w:r>
      <w:r w:rsidR="0023575C">
        <w:t>n case of</w:t>
      </w:r>
      <w:r w:rsidR="00EE17F4" w:rsidRPr="00BC56FA">
        <w:t xml:space="preserve"> </w:t>
      </w:r>
      <w:r w:rsidR="00EE17F4">
        <w:t>Mode 1</w:t>
      </w:r>
      <w:r w:rsidR="0023575C">
        <w:t>,</w:t>
      </w:r>
      <w:r w:rsidR="00EE17F4">
        <w:t xml:space="preserve"> </w:t>
      </w:r>
      <w:r w:rsidR="0023575C">
        <w:t xml:space="preserve">if </w:t>
      </w:r>
      <w:r w:rsidR="00EE17F4" w:rsidRPr="00BC56FA">
        <w:t>dynamic grant contain</w:t>
      </w:r>
      <w:r w:rsidR="00EE17F4">
        <w:t>s</w:t>
      </w:r>
      <w:r w:rsidR="00EE17F4" w:rsidRPr="00BC56FA">
        <w:t xml:space="preserve"> resources for retransmission as well, according to the following agreement from RAN1#96 bis, the UE may either perform Blind retransmission when no PUCCH resource is included or, may still do HARQ feedback based re-transmission and indicate the final feedback (corresponding to the last retransmission) to the gNB if the PUCCH resource were included in the DCI.</w:t>
      </w:r>
    </w:p>
    <w:p w:rsidR="00EE17F4" w:rsidRDefault="00EE17F4" w:rsidP="00EE17F4">
      <w:pPr>
        <w:tabs>
          <w:tab w:val="num" w:pos="1440"/>
        </w:tabs>
        <w:autoSpaceDE/>
        <w:autoSpaceDN/>
        <w:adjustRightInd/>
        <w:snapToGrid/>
        <w:spacing w:after="0" w:line="216" w:lineRule="auto"/>
        <w:contextualSpacing/>
        <w:rPr>
          <w:color w:val="0070C0"/>
          <w:kern w:val="24"/>
          <w:szCs w:val="30"/>
        </w:rPr>
      </w:pPr>
    </w:p>
    <w:tbl>
      <w:tblPr>
        <w:tblStyle w:val="TableGrid"/>
        <w:tblW w:w="0" w:type="auto"/>
        <w:tblLook w:val="04A0" w:firstRow="1" w:lastRow="0" w:firstColumn="1" w:lastColumn="0" w:noHBand="0" w:noVBand="1"/>
      </w:tblPr>
      <w:tblGrid>
        <w:gridCol w:w="9307"/>
      </w:tblGrid>
      <w:tr w:rsidR="00EE17F4" w:rsidTr="00D85CC7">
        <w:tc>
          <w:tcPr>
            <w:tcW w:w="9307" w:type="dxa"/>
          </w:tcPr>
          <w:p w:rsidR="00EE17F4" w:rsidRDefault="00EE17F4" w:rsidP="00D85CC7">
            <w:pPr>
              <w:spacing w:before="40" w:after="40"/>
            </w:pPr>
            <w:r>
              <w:rPr>
                <w:sz w:val="24"/>
                <w:szCs w:val="24"/>
              </w:rPr>
              <w:t>Agreements:</w:t>
            </w:r>
          </w:p>
          <w:p w:rsidR="00EE17F4" w:rsidRPr="002E07C4" w:rsidRDefault="00EE17F4" w:rsidP="00D85CC7">
            <w:pPr>
              <w:rPr>
                <w:lang w:eastAsia="zh-TW"/>
              </w:rPr>
            </w:pPr>
            <w:r>
              <w:rPr>
                <w:sz w:val="24"/>
                <w:szCs w:val="24"/>
              </w:rPr>
              <w:t>·         A dynamic grant provides resources for one or multiple sidelink transmissions of a single TB.</w:t>
            </w:r>
          </w:p>
        </w:tc>
      </w:tr>
    </w:tbl>
    <w:p w:rsidR="00EE17F4" w:rsidRDefault="00EE17F4" w:rsidP="00EE17F4">
      <w:pPr>
        <w:tabs>
          <w:tab w:val="num" w:pos="1440"/>
        </w:tabs>
        <w:autoSpaceDE/>
        <w:autoSpaceDN/>
        <w:adjustRightInd/>
        <w:snapToGrid/>
        <w:spacing w:after="0" w:line="216" w:lineRule="auto"/>
        <w:contextualSpacing/>
        <w:rPr>
          <w:color w:val="0070C0"/>
          <w:kern w:val="24"/>
          <w:szCs w:val="30"/>
        </w:rPr>
      </w:pPr>
    </w:p>
    <w:p w:rsidR="00EE17F4" w:rsidRDefault="00EE17F4" w:rsidP="00EE17F4">
      <w:pPr>
        <w:tabs>
          <w:tab w:val="num" w:pos="1440"/>
        </w:tabs>
        <w:autoSpaceDE/>
        <w:autoSpaceDN/>
        <w:adjustRightInd/>
        <w:snapToGrid/>
        <w:spacing w:after="0" w:line="216" w:lineRule="auto"/>
        <w:contextualSpacing/>
        <w:rPr>
          <w:color w:val="0070C0"/>
          <w:kern w:val="24"/>
          <w:szCs w:val="30"/>
        </w:rPr>
      </w:pPr>
    </w:p>
    <w:p w:rsidR="00EE17F4" w:rsidRPr="00BC56FA" w:rsidRDefault="00EE17F4" w:rsidP="00EE17F4">
      <w:r w:rsidRPr="00BC56FA">
        <w:t>Further, if the dynamic grant contain resources for only single transmission, then the following proposals are made:</w:t>
      </w:r>
    </w:p>
    <w:p w:rsidR="00EE17F4" w:rsidRDefault="00EE17F4" w:rsidP="00EE17F4">
      <w:pPr>
        <w:tabs>
          <w:tab w:val="num" w:pos="1440"/>
        </w:tabs>
        <w:autoSpaceDE/>
        <w:autoSpaceDN/>
        <w:adjustRightInd/>
        <w:snapToGrid/>
        <w:spacing w:after="0" w:line="216" w:lineRule="auto"/>
        <w:contextualSpacing/>
        <w:rPr>
          <w:color w:val="0070C0"/>
          <w:kern w:val="24"/>
          <w:szCs w:val="30"/>
        </w:rPr>
      </w:pPr>
    </w:p>
    <w:p w:rsidR="00EE17F4" w:rsidRPr="00097721" w:rsidRDefault="00EE17F4" w:rsidP="00097721">
      <w:pPr>
        <w:rPr>
          <w:b/>
        </w:rPr>
      </w:pPr>
      <w:r w:rsidRPr="00097721">
        <w:rPr>
          <w:b/>
        </w:rPr>
        <w:t xml:space="preserve">Proposal </w:t>
      </w:r>
      <w:r w:rsidR="0023575C" w:rsidRPr="00097721">
        <w:rPr>
          <w:b/>
        </w:rPr>
        <w:t>4</w:t>
      </w:r>
      <w:r w:rsidRPr="00097721">
        <w:rPr>
          <w:b/>
        </w:rPr>
        <w:t>: If the PUCCH resource is signaled in the DCI for mode 1 dynamic grant containing single transmission resource and Tx UE decides to make Blind re-transmissions, it will signal „Nack“ back to the gNB (the Tx UE does not solicit any HARQ feedback from the Rx UE(s)).</w:t>
      </w:r>
    </w:p>
    <w:p w:rsidR="00EE17F4" w:rsidRPr="00097721" w:rsidRDefault="00EE17F4" w:rsidP="00097721">
      <w:pPr>
        <w:rPr>
          <w:b/>
        </w:rPr>
      </w:pPr>
    </w:p>
    <w:p w:rsidR="00EE17F4" w:rsidRPr="00097721" w:rsidRDefault="00EE17F4" w:rsidP="00097721">
      <w:r w:rsidRPr="00097721">
        <w:rPr>
          <w:b/>
        </w:rPr>
        <w:t xml:space="preserve">Proposal </w:t>
      </w:r>
      <w:r w:rsidR="0023575C" w:rsidRPr="00097721">
        <w:rPr>
          <w:b/>
        </w:rPr>
        <w:t>5</w:t>
      </w:r>
      <w:r w:rsidRPr="00097721">
        <w:rPr>
          <w:b/>
        </w:rPr>
        <w:t>: If the PUCCH resources are not available, the UE could autonomously switch to Mode 2 based Blind re-transmissions (the Tx UE does not solicit any HARQ feedback from the Rx UE(s)) when (further) retransmission(s) need to be made.</w:t>
      </w:r>
    </w:p>
    <w:p w:rsidR="00EE17F4" w:rsidRDefault="00EE17F4" w:rsidP="00950C9F"/>
    <w:p w:rsidR="0082623E" w:rsidRPr="00B361F8" w:rsidRDefault="0082623E"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Conclusion</w:t>
      </w:r>
      <w:r w:rsidR="00F5101B" w:rsidRPr="00B361F8">
        <w:rPr>
          <w:rFonts w:ascii="Times New Roman" w:eastAsia="SimSun" w:hAnsi="Times New Roman"/>
          <w:b w:val="0"/>
          <w:bCs w:val="0"/>
          <w:sz w:val="36"/>
          <w:szCs w:val="20"/>
          <w:lang w:eastAsia="ja-JP"/>
        </w:rPr>
        <w:t>s</w:t>
      </w:r>
    </w:p>
    <w:p w:rsidR="0048619C" w:rsidRDefault="00DE6D12" w:rsidP="0048619C">
      <w:r w:rsidRPr="00B361F8">
        <w:t xml:space="preserve">This contribution addressed </w:t>
      </w:r>
      <w:r w:rsidR="008268C0">
        <w:t xml:space="preserve">the </w:t>
      </w:r>
      <w:r w:rsidR="009453ED">
        <w:t>question on when and how the blind retransmissions are to be made</w:t>
      </w:r>
      <w:r w:rsidR="008268C0">
        <w:t>. T</w:t>
      </w:r>
      <w:r w:rsidR="00973B27">
        <w:t>he following proposals are made:</w:t>
      </w:r>
    </w:p>
    <w:p w:rsidR="009453ED" w:rsidRPr="000E6445" w:rsidRDefault="009453ED" w:rsidP="0015351A">
      <w:pPr>
        <w:tabs>
          <w:tab w:val="num" w:pos="1440"/>
        </w:tabs>
        <w:autoSpaceDE/>
        <w:autoSpaceDN/>
        <w:adjustRightInd/>
        <w:snapToGrid/>
        <w:spacing w:line="216" w:lineRule="auto"/>
        <w:contextualSpacing/>
        <w:rPr>
          <w:b/>
          <w:color w:val="0070C0"/>
          <w:kern w:val="24"/>
          <w:szCs w:val="30"/>
        </w:rPr>
      </w:pPr>
      <w:r w:rsidRPr="000E6445">
        <w:rPr>
          <w:b/>
          <w:color w:val="000000" w:themeColor="text1"/>
          <w:kern w:val="24"/>
          <w:szCs w:val="30"/>
        </w:rPr>
        <w:t>Proposal 1: One shot transmission is not made in NR V2X i.e. a single transmission without any re-transmission irrespective of whether some/ any receiver(s) have successfully decoded the data (PSSCH) or not, is not made by the transmitter UE.</w:t>
      </w:r>
    </w:p>
    <w:p w:rsidR="0015351A" w:rsidRDefault="0015351A" w:rsidP="0015351A">
      <w:pPr>
        <w:spacing w:after="0"/>
      </w:pPr>
    </w:p>
    <w:p w:rsidR="009453ED" w:rsidRPr="000E6445" w:rsidRDefault="009453ED" w:rsidP="0015351A">
      <w:pPr>
        <w:rPr>
          <w:b/>
          <w:color w:val="000000" w:themeColor="text1"/>
          <w:kern w:val="24"/>
          <w:szCs w:val="30"/>
        </w:rPr>
      </w:pPr>
      <w:r w:rsidRPr="000E6445">
        <w:rPr>
          <w:b/>
        </w:rPr>
        <w:t xml:space="preserve">Proposal 2: Blind retransmissions (BRs) are made when </w:t>
      </w:r>
      <w:r w:rsidRPr="000E6445">
        <w:rPr>
          <w:b/>
          <w:color w:val="000000" w:themeColor="text1"/>
          <w:kern w:val="24"/>
          <w:szCs w:val="30"/>
        </w:rPr>
        <w:t>feedback based retransmissions can’t or shouldn’t be made e.g. due to reliability and latency reasons.</w:t>
      </w:r>
    </w:p>
    <w:p w:rsidR="009453ED" w:rsidRPr="000E6445" w:rsidRDefault="009453ED" w:rsidP="0015351A">
      <w:pPr>
        <w:rPr>
          <w:b/>
        </w:rPr>
      </w:pPr>
      <w:r w:rsidRPr="000E6445">
        <w:rPr>
          <w:b/>
        </w:rPr>
        <w:t>Proposal 3: The Transmitter UE decides if Blind retransmissions are to be made.</w:t>
      </w:r>
    </w:p>
    <w:p w:rsidR="00F40618" w:rsidRPr="00F40618" w:rsidRDefault="00F40618" w:rsidP="0015351A">
      <w:pPr>
        <w:rPr>
          <w:b/>
        </w:rPr>
      </w:pPr>
      <w:r w:rsidRPr="00F40618">
        <w:rPr>
          <w:b/>
        </w:rPr>
        <w:t>Proposal 4: If the PUCCH resource is signaled in the DCI for mode 1 dynamic grant containing single transmission resource and Tx UE decides to make Blind re-transmissions, it will signal „Nack“ back to the gNB (the Tx UE does not solicit any HARQ feedback from the Rx UE(s)).</w:t>
      </w:r>
    </w:p>
    <w:p w:rsidR="00005FED" w:rsidRPr="00F40618" w:rsidRDefault="00F40618" w:rsidP="0015351A">
      <w:pPr>
        <w:rPr>
          <w:b/>
        </w:rPr>
      </w:pPr>
      <w:r w:rsidRPr="00F40618">
        <w:rPr>
          <w:b/>
        </w:rPr>
        <w:t>Proposal 5: If the PUCCH resources are not available, the UE could autonomously switch to Mode 2 based Blind re-transmissions (the Tx UE does not solicit any HARQ feedback from the Rx UE(s)) when (further) retransmission(s) need to be made.</w:t>
      </w:r>
    </w:p>
    <w:p w:rsidR="00620D8F" w:rsidRDefault="00620D8F" w:rsidP="006D7601">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References</w:t>
      </w:r>
    </w:p>
    <w:p w:rsidR="008B5FB6" w:rsidRPr="008B5FB6" w:rsidRDefault="008B5FB6" w:rsidP="008B5FB6">
      <w:pPr>
        <w:rPr>
          <w:lang w:val="en-GB" w:eastAsia="ja-JP"/>
        </w:rPr>
      </w:pPr>
      <w:r>
        <w:rPr>
          <w:lang w:val="en-GB" w:eastAsia="ja-JP"/>
        </w:rPr>
        <w:t xml:space="preserve">[1]: </w:t>
      </w:r>
      <w:r w:rsidR="00231BF4" w:rsidRPr="00231BF4">
        <w:rPr>
          <w:lang w:val="en-GB" w:eastAsia="ja-JP"/>
        </w:rPr>
        <w:t>R2-</w:t>
      </w:r>
      <w:r w:rsidR="00BC170F">
        <w:rPr>
          <w:lang w:val="en-GB" w:eastAsia="ja-JP"/>
        </w:rPr>
        <w:t>2001078</w:t>
      </w:r>
      <w:bookmarkStart w:id="3" w:name="_GoBack"/>
      <w:bookmarkEnd w:id="3"/>
      <w:r w:rsidR="00231BF4" w:rsidRPr="00231BF4">
        <w:rPr>
          <w:lang w:val="en-GB" w:eastAsia="ja-JP"/>
        </w:rPr>
        <w:t xml:space="preserve"> Remaining aspects of NR V2X Tx UE </w:t>
      </w:r>
      <w:r w:rsidR="00231BF4">
        <w:rPr>
          <w:lang w:val="en-GB" w:eastAsia="ja-JP"/>
        </w:rPr>
        <w:t xml:space="preserve">behaviour </w:t>
      </w:r>
      <w:r w:rsidR="00231BF4" w:rsidRPr="00231BF4">
        <w:rPr>
          <w:lang w:val="en-GB" w:eastAsia="ja-JP"/>
        </w:rPr>
        <w:t>Lenovo</w:t>
      </w:r>
      <w:r w:rsidR="00231BF4">
        <w:rPr>
          <w:lang w:val="en-GB" w:eastAsia="ja-JP"/>
        </w:rPr>
        <w:t xml:space="preserve">, Motorola Mobility, Deutsche Telekom, </w:t>
      </w:r>
      <w:r w:rsidR="000E01BE" w:rsidRPr="000E01BE">
        <w:rPr>
          <w:lang w:val="en-GB" w:eastAsia="ja-JP"/>
        </w:rPr>
        <w:t>Fraunhofer HHI and Fraunhofer IIS</w:t>
      </w:r>
      <w:r w:rsidR="00D12342">
        <w:rPr>
          <w:lang w:val="en-GB" w:eastAsia="ja-JP"/>
        </w:rPr>
        <w:t xml:space="preserve">, </w:t>
      </w:r>
      <w:r w:rsidR="00D12342" w:rsidRPr="00D12342">
        <w:rPr>
          <w:lang w:val="en-GB" w:eastAsia="ja-JP"/>
        </w:rPr>
        <w:t>Continental Automotive GmbH</w:t>
      </w:r>
    </w:p>
    <w:sectPr w:rsidR="008B5FB6" w:rsidRPr="008B5F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B09" w:rsidRDefault="004D2B09">
      <w:r>
        <w:separator/>
      </w:r>
    </w:p>
  </w:endnote>
  <w:endnote w:type="continuationSeparator" w:id="0">
    <w:p w:rsidR="004D2B09" w:rsidRDefault="004D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B09" w:rsidRDefault="004D2B09">
      <w:r>
        <w:separator/>
      </w:r>
    </w:p>
  </w:footnote>
  <w:footnote w:type="continuationSeparator" w:id="0">
    <w:p w:rsidR="004D2B09" w:rsidRDefault="004D2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AC2F64"/>
    <w:multiLevelType w:val="hybridMultilevel"/>
    <w:tmpl w:val="AA5E5044"/>
    <w:lvl w:ilvl="0" w:tplc="D0A4AABA">
      <w:start w:val="1"/>
      <w:numFmt w:val="decimal"/>
      <w:lvlText w:val="%1."/>
      <w:lvlJc w:val="left"/>
      <w:pPr>
        <w:tabs>
          <w:tab w:val="num" w:pos="-860"/>
        </w:tabs>
        <w:ind w:left="-860" w:hanging="360"/>
      </w:pPr>
    </w:lvl>
    <w:lvl w:ilvl="1" w:tplc="168A1020">
      <w:start w:val="1"/>
      <w:numFmt w:val="lowerLetter"/>
      <w:lvlText w:val="%2)"/>
      <w:lvlJc w:val="left"/>
      <w:pPr>
        <w:tabs>
          <w:tab w:val="num" w:pos="-140"/>
        </w:tabs>
        <w:ind w:left="-140" w:hanging="360"/>
      </w:pPr>
    </w:lvl>
    <w:lvl w:ilvl="2" w:tplc="F7C87A62">
      <w:numFmt w:val="bullet"/>
      <w:lvlText w:val="•"/>
      <w:lvlJc w:val="left"/>
      <w:pPr>
        <w:tabs>
          <w:tab w:val="num" w:pos="580"/>
        </w:tabs>
        <w:ind w:left="580" w:hanging="360"/>
      </w:pPr>
      <w:rPr>
        <w:rFonts w:ascii="Arial" w:hAnsi="Arial" w:hint="default"/>
      </w:rPr>
    </w:lvl>
    <w:lvl w:ilvl="3" w:tplc="740440B6" w:tentative="1">
      <w:start w:val="1"/>
      <w:numFmt w:val="decimal"/>
      <w:lvlText w:val="%4."/>
      <w:lvlJc w:val="left"/>
      <w:pPr>
        <w:tabs>
          <w:tab w:val="num" w:pos="1300"/>
        </w:tabs>
        <w:ind w:left="1300" w:hanging="360"/>
      </w:pPr>
    </w:lvl>
    <w:lvl w:ilvl="4" w:tplc="F16687CC" w:tentative="1">
      <w:start w:val="1"/>
      <w:numFmt w:val="decimal"/>
      <w:lvlText w:val="%5."/>
      <w:lvlJc w:val="left"/>
      <w:pPr>
        <w:tabs>
          <w:tab w:val="num" w:pos="2020"/>
        </w:tabs>
        <w:ind w:left="2020" w:hanging="360"/>
      </w:pPr>
    </w:lvl>
    <w:lvl w:ilvl="5" w:tplc="31AC03F8" w:tentative="1">
      <w:start w:val="1"/>
      <w:numFmt w:val="decimal"/>
      <w:lvlText w:val="%6."/>
      <w:lvlJc w:val="left"/>
      <w:pPr>
        <w:tabs>
          <w:tab w:val="num" w:pos="2740"/>
        </w:tabs>
        <w:ind w:left="2740" w:hanging="360"/>
      </w:pPr>
    </w:lvl>
    <w:lvl w:ilvl="6" w:tplc="8D72EDF0" w:tentative="1">
      <w:start w:val="1"/>
      <w:numFmt w:val="decimal"/>
      <w:lvlText w:val="%7."/>
      <w:lvlJc w:val="left"/>
      <w:pPr>
        <w:tabs>
          <w:tab w:val="num" w:pos="3460"/>
        </w:tabs>
        <w:ind w:left="3460" w:hanging="360"/>
      </w:pPr>
    </w:lvl>
    <w:lvl w:ilvl="7" w:tplc="AE5C8E30" w:tentative="1">
      <w:start w:val="1"/>
      <w:numFmt w:val="decimal"/>
      <w:lvlText w:val="%8."/>
      <w:lvlJc w:val="left"/>
      <w:pPr>
        <w:tabs>
          <w:tab w:val="num" w:pos="4180"/>
        </w:tabs>
        <w:ind w:left="4180" w:hanging="360"/>
      </w:pPr>
    </w:lvl>
    <w:lvl w:ilvl="8" w:tplc="37DC7434" w:tentative="1">
      <w:start w:val="1"/>
      <w:numFmt w:val="decimal"/>
      <w:lvlText w:val="%9."/>
      <w:lvlJc w:val="left"/>
      <w:pPr>
        <w:tabs>
          <w:tab w:val="num" w:pos="4900"/>
        </w:tabs>
        <w:ind w:left="4900" w:hanging="360"/>
      </w:pPr>
    </w:lvl>
  </w:abstractNum>
  <w:abstractNum w:abstractNumId="2" w15:restartNumberingAfterBreak="0">
    <w:nsid w:val="219C139E"/>
    <w:multiLevelType w:val="hybridMultilevel"/>
    <w:tmpl w:val="7D6ADD8E"/>
    <w:lvl w:ilvl="0" w:tplc="2158A318">
      <w:start w:val="1"/>
      <w:numFmt w:val="bullet"/>
      <w:lvlText w:val=""/>
      <w:lvlJc w:val="left"/>
      <w:pPr>
        <w:tabs>
          <w:tab w:val="num" w:pos="720"/>
        </w:tabs>
        <w:ind w:left="720" w:hanging="360"/>
      </w:pPr>
      <w:rPr>
        <w:rFonts w:ascii="Wingdings" w:hAnsi="Wingdings" w:hint="default"/>
      </w:rPr>
    </w:lvl>
    <w:lvl w:ilvl="1" w:tplc="46EAE46E">
      <w:start w:val="1"/>
      <w:numFmt w:val="bullet"/>
      <w:lvlText w:val=""/>
      <w:lvlJc w:val="left"/>
      <w:pPr>
        <w:tabs>
          <w:tab w:val="num" w:pos="1440"/>
        </w:tabs>
        <w:ind w:left="1440" w:hanging="360"/>
      </w:pPr>
      <w:rPr>
        <w:rFonts w:ascii="Wingdings" w:hAnsi="Wingdings" w:hint="default"/>
      </w:rPr>
    </w:lvl>
    <w:lvl w:ilvl="2" w:tplc="E09C415C" w:tentative="1">
      <w:start w:val="1"/>
      <w:numFmt w:val="bullet"/>
      <w:lvlText w:val=""/>
      <w:lvlJc w:val="left"/>
      <w:pPr>
        <w:tabs>
          <w:tab w:val="num" w:pos="2160"/>
        </w:tabs>
        <w:ind w:left="2160" w:hanging="360"/>
      </w:pPr>
      <w:rPr>
        <w:rFonts w:ascii="Wingdings" w:hAnsi="Wingdings" w:hint="default"/>
      </w:rPr>
    </w:lvl>
    <w:lvl w:ilvl="3" w:tplc="EB188F1E" w:tentative="1">
      <w:start w:val="1"/>
      <w:numFmt w:val="bullet"/>
      <w:lvlText w:val=""/>
      <w:lvlJc w:val="left"/>
      <w:pPr>
        <w:tabs>
          <w:tab w:val="num" w:pos="2880"/>
        </w:tabs>
        <w:ind w:left="2880" w:hanging="360"/>
      </w:pPr>
      <w:rPr>
        <w:rFonts w:ascii="Wingdings" w:hAnsi="Wingdings" w:hint="default"/>
      </w:rPr>
    </w:lvl>
    <w:lvl w:ilvl="4" w:tplc="FB8CEB10" w:tentative="1">
      <w:start w:val="1"/>
      <w:numFmt w:val="bullet"/>
      <w:lvlText w:val=""/>
      <w:lvlJc w:val="left"/>
      <w:pPr>
        <w:tabs>
          <w:tab w:val="num" w:pos="3600"/>
        </w:tabs>
        <w:ind w:left="3600" w:hanging="360"/>
      </w:pPr>
      <w:rPr>
        <w:rFonts w:ascii="Wingdings" w:hAnsi="Wingdings" w:hint="default"/>
      </w:rPr>
    </w:lvl>
    <w:lvl w:ilvl="5" w:tplc="5630BF82" w:tentative="1">
      <w:start w:val="1"/>
      <w:numFmt w:val="bullet"/>
      <w:lvlText w:val=""/>
      <w:lvlJc w:val="left"/>
      <w:pPr>
        <w:tabs>
          <w:tab w:val="num" w:pos="4320"/>
        </w:tabs>
        <w:ind w:left="4320" w:hanging="360"/>
      </w:pPr>
      <w:rPr>
        <w:rFonts w:ascii="Wingdings" w:hAnsi="Wingdings" w:hint="default"/>
      </w:rPr>
    </w:lvl>
    <w:lvl w:ilvl="6" w:tplc="725A5958" w:tentative="1">
      <w:start w:val="1"/>
      <w:numFmt w:val="bullet"/>
      <w:lvlText w:val=""/>
      <w:lvlJc w:val="left"/>
      <w:pPr>
        <w:tabs>
          <w:tab w:val="num" w:pos="5040"/>
        </w:tabs>
        <w:ind w:left="5040" w:hanging="360"/>
      </w:pPr>
      <w:rPr>
        <w:rFonts w:ascii="Wingdings" w:hAnsi="Wingdings" w:hint="default"/>
      </w:rPr>
    </w:lvl>
    <w:lvl w:ilvl="7" w:tplc="097C40E0" w:tentative="1">
      <w:start w:val="1"/>
      <w:numFmt w:val="bullet"/>
      <w:lvlText w:val=""/>
      <w:lvlJc w:val="left"/>
      <w:pPr>
        <w:tabs>
          <w:tab w:val="num" w:pos="5760"/>
        </w:tabs>
        <w:ind w:left="5760" w:hanging="360"/>
      </w:pPr>
      <w:rPr>
        <w:rFonts w:ascii="Wingdings" w:hAnsi="Wingdings" w:hint="default"/>
      </w:rPr>
    </w:lvl>
    <w:lvl w:ilvl="8" w:tplc="33B87C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8A0AA3"/>
    <w:multiLevelType w:val="hybridMultilevel"/>
    <w:tmpl w:val="A2F65444"/>
    <w:lvl w:ilvl="0" w:tplc="26E6C792">
      <w:start w:val="1"/>
      <w:numFmt w:val="bullet"/>
      <w:lvlText w:val="•"/>
      <w:lvlJc w:val="left"/>
      <w:pPr>
        <w:tabs>
          <w:tab w:val="num" w:pos="360"/>
        </w:tabs>
        <w:ind w:left="360" w:hanging="360"/>
      </w:pPr>
      <w:rPr>
        <w:rFonts w:ascii="Arial" w:hAnsi="Arial" w:hint="default"/>
      </w:rPr>
    </w:lvl>
    <w:lvl w:ilvl="1" w:tplc="B29EFB44">
      <w:start w:val="1"/>
      <w:numFmt w:val="bullet"/>
      <w:lvlText w:val="•"/>
      <w:lvlJc w:val="left"/>
      <w:pPr>
        <w:tabs>
          <w:tab w:val="num" w:pos="1080"/>
        </w:tabs>
        <w:ind w:left="1080" w:hanging="360"/>
      </w:pPr>
      <w:rPr>
        <w:rFonts w:ascii="Arial" w:hAnsi="Arial" w:hint="default"/>
      </w:rPr>
    </w:lvl>
    <w:lvl w:ilvl="2" w:tplc="28C6B2B6">
      <w:start w:val="1"/>
      <w:numFmt w:val="bullet"/>
      <w:lvlText w:val="•"/>
      <w:lvlJc w:val="left"/>
      <w:pPr>
        <w:tabs>
          <w:tab w:val="num" w:pos="1800"/>
        </w:tabs>
        <w:ind w:left="1800" w:hanging="360"/>
      </w:pPr>
      <w:rPr>
        <w:rFonts w:ascii="Arial" w:hAnsi="Arial" w:hint="default"/>
      </w:rPr>
    </w:lvl>
    <w:lvl w:ilvl="3" w:tplc="9D72C74C">
      <w:numFmt w:val="bullet"/>
      <w:lvlText w:val="•"/>
      <w:lvlJc w:val="left"/>
      <w:pPr>
        <w:tabs>
          <w:tab w:val="num" w:pos="2520"/>
        </w:tabs>
        <w:ind w:left="2520" w:hanging="360"/>
      </w:pPr>
      <w:rPr>
        <w:rFonts w:ascii="Arial" w:hAnsi="Arial" w:hint="default"/>
      </w:rPr>
    </w:lvl>
    <w:lvl w:ilvl="4" w:tplc="6A4AF800" w:tentative="1">
      <w:start w:val="1"/>
      <w:numFmt w:val="bullet"/>
      <w:lvlText w:val="•"/>
      <w:lvlJc w:val="left"/>
      <w:pPr>
        <w:tabs>
          <w:tab w:val="num" w:pos="3240"/>
        </w:tabs>
        <w:ind w:left="3240" w:hanging="360"/>
      </w:pPr>
      <w:rPr>
        <w:rFonts w:ascii="Arial" w:hAnsi="Arial" w:hint="default"/>
      </w:rPr>
    </w:lvl>
    <w:lvl w:ilvl="5" w:tplc="C0F4FDEE" w:tentative="1">
      <w:start w:val="1"/>
      <w:numFmt w:val="bullet"/>
      <w:lvlText w:val="•"/>
      <w:lvlJc w:val="left"/>
      <w:pPr>
        <w:tabs>
          <w:tab w:val="num" w:pos="3960"/>
        </w:tabs>
        <w:ind w:left="3960" w:hanging="360"/>
      </w:pPr>
      <w:rPr>
        <w:rFonts w:ascii="Arial" w:hAnsi="Arial" w:hint="default"/>
      </w:rPr>
    </w:lvl>
    <w:lvl w:ilvl="6" w:tplc="4BFC56E6" w:tentative="1">
      <w:start w:val="1"/>
      <w:numFmt w:val="bullet"/>
      <w:lvlText w:val="•"/>
      <w:lvlJc w:val="left"/>
      <w:pPr>
        <w:tabs>
          <w:tab w:val="num" w:pos="4680"/>
        </w:tabs>
        <w:ind w:left="4680" w:hanging="360"/>
      </w:pPr>
      <w:rPr>
        <w:rFonts w:ascii="Arial" w:hAnsi="Arial" w:hint="default"/>
      </w:rPr>
    </w:lvl>
    <w:lvl w:ilvl="7" w:tplc="4EC89E00" w:tentative="1">
      <w:start w:val="1"/>
      <w:numFmt w:val="bullet"/>
      <w:lvlText w:val="•"/>
      <w:lvlJc w:val="left"/>
      <w:pPr>
        <w:tabs>
          <w:tab w:val="num" w:pos="5400"/>
        </w:tabs>
        <w:ind w:left="5400" w:hanging="360"/>
      </w:pPr>
      <w:rPr>
        <w:rFonts w:ascii="Arial" w:hAnsi="Arial" w:hint="default"/>
      </w:rPr>
    </w:lvl>
    <w:lvl w:ilvl="8" w:tplc="FB5470F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7852C3F"/>
    <w:multiLevelType w:val="hybridMultilevel"/>
    <w:tmpl w:val="4CD02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12"/>
  </w:num>
  <w:num w:numId="4">
    <w:abstractNumId w:val="11"/>
  </w:num>
  <w:num w:numId="5">
    <w:abstractNumId w:val="9"/>
  </w:num>
  <w:num w:numId="6">
    <w:abstractNumId w:val="15"/>
  </w:num>
  <w:num w:numId="7">
    <w:abstractNumId w:val="10"/>
  </w:num>
  <w:num w:numId="8">
    <w:abstractNumId w:val="8"/>
  </w:num>
  <w:num w:numId="9">
    <w:abstractNumId w:val="13"/>
  </w:num>
  <w:num w:numId="10">
    <w:abstractNumId w:val="7"/>
  </w:num>
  <w:num w:numId="11">
    <w:abstractNumId w:val="0"/>
  </w:num>
  <w:num w:numId="12">
    <w:abstractNumId w:val="6"/>
  </w:num>
  <w:num w:numId="13">
    <w:abstractNumId w:val="1"/>
  </w:num>
  <w:num w:numId="14">
    <w:abstractNumId w:val="3"/>
  </w:num>
  <w:num w:numId="15">
    <w:abstractNumId w:val="4"/>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53"/>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808"/>
    <w:rsid w:val="00016A1C"/>
    <w:rsid w:val="000172BE"/>
    <w:rsid w:val="000179D8"/>
    <w:rsid w:val="00017D8A"/>
    <w:rsid w:val="00017E39"/>
    <w:rsid w:val="0002026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71"/>
    <w:rsid w:val="00034DAD"/>
    <w:rsid w:val="000352B3"/>
    <w:rsid w:val="000359EA"/>
    <w:rsid w:val="00036121"/>
    <w:rsid w:val="000365B6"/>
    <w:rsid w:val="00036CB7"/>
    <w:rsid w:val="00036F2F"/>
    <w:rsid w:val="000373B3"/>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95"/>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43"/>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A5D"/>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721"/>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0A6"/>
    <w:rsid w:val="000C35F4"/>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1BE"/>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445"/>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CDD"/>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833"/>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970"/>
    <w:rsid w:val="00124B65"/>
    <w:rsid w:val="00124D84"/>
    <w:rsid w:val="001250DD"/>
    <w:rsid w:val="00125403"/>
    <w:rsid w:val="00125733"/>
    <w:rsid w:val="00125A22"/>
    <w:rsid w:val="00125DDB"/>
    <w:rsid w:val="001261FC"/>
    <w:rsid w:val="00126370"/>
    <w:rsid w:val="001263AA"/>
    <w:rsid w:val="001266F3"/>
    <w:rsid w:val="001268DC"/>
    <w:rsid w:val="00126F71"/>
    <w:rsid w:val="00126F74"/>
    <w:rsid w:val="001278E7"/>
    <w:rsid w:val="00127905"/>
    <w:rsid w:val="00127951"/>
    <w:rsid w:val="00127A56"/>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554"/>
    <w:rsid w:val="00134B88"/>
    <w:rsid w:val="001352D0"/>
    <w:rsid w:val="001354B8"/>
    <w:rsid w:val="001354C8"/>
    <w:rsid w:val="0013588C"/>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51A"/>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697"/>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5EBD"/>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113"/>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323"/>
    <w:rsid w:val="00182539"/>
    <w:rsid w:val="00182771"/>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2EF0"/>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8B8"/>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117"/>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0B8"/>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6B1"/>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2FB"/>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7B3"/>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48A"/>
    <w:rsid w:val="00220891"/>
    <w:rsid w:val="00220894"/>
    <w:rsid w:val="00220BE6"/>
    <w:rsid w:val="00220C89"/>
    <w:rsid w:val="0022134B"/>
    <w:rsid w:val="002216C9"/>
    <w:rsid w:val="00221D96"/>
    <w:rsid w:val="00221DE9"/>
    <w:rsid w:val="00222173"/>
    <w:rsid w:val="00222CA9"/>
    <w:rsid w:val="00222DB9"/>
    <w:rsid w:val="002235B3"/>
    <w:rsid w:val="00223D16"/>
    <w:rsid w:val="00223F67"/>
    <w:rsid w:val="00224952"/>
    <w:rsid w:val="00224C8B"/>
    <w:rsid w:val="00224DD2"/>
    <w:rsid w:val="0022510B"/>
    <w:rsid w:val="0022524D"/>
    <w:rsid w:val="00225255"/>
    <w:rsid w:val="002257FD"/>
    <w:rsid w:val="00225A59"/>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012"/>
    <w:rsid w:val="002311E4"/>
    <w:rsid w:val="0023148E"/>
    <w:rsid w:val="00231BF4"/>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75C"/>
    <w:rsid w:val="00235928"/>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039"/>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41"/>
    <w:rsid w:val="00275EFE"/>
    <w:rsid w:val="00276166"/>
    <w:rsid w:val="00276462"/>
    <w:rsid w:val="00276897"/>
    <w:rsid w:val="0027689C"/>
    <w:rsid w:val="00276A35"/>
    <w:rsid w:val="00276A8C"/>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67D"/>
    <w:rsid w:val="0028276D"/>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899"/>
    <w:rsid w:val="00292B29"/>
    <w:rsid w:val="00292BF6"/>
    <w:rsid w:val="002934F4"/>
    <w:rsid w:val="002938E3"/>
    <w:rsid w:val="00293D83"/>
    <w:rsid w:val="00293E57"/>
    <w:rsid w:val="00294092"/>
    <w:rsid w:val="0029412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6EE5"/>
    <w:rsid w:val="002C72B2"/>
    <w:rsid w:val="002C73D3"/>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02"/>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4D4"/>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44A"/>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597"/>
    <w:rsid w:val="003178DA"/>
    <w:rsid w:val="00317966"/>
    <w:rsid w:val="00317A11"/>
    <w:rsid w:val="00317C91"/>
    <w:rsid w:val="00317DB8"/>
    <w:rsid w:val="00317E99"/>
    <w:rsid w:val="00317F51"/>
    <w:rsid w:val="00317FF3"/>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81"/>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4DC"/>
    <w:rsid w:val="00372601"/>
    <w:rsid w:val="0037295B"/>
    <w:rsid w:val="00372ACA"/>
    <w:rsid w:val="00372CF0"/>
    <w:rsid w:val="00372DD5"/>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6C"/>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4B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7F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4A5"/>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1B"/>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261"/>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9C"/>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509"/>
    <w:rsid w:val="00493A74"/>
    <w:rsid w:val="00493EAC"/>
    <w:rsid w:val="00493EC2"/>
    <w:rsid w:val="00494242"/>
    <w:rsid w:val="0049481B"/>
    <w:rsid w:val="0049486B"/>
    <w:rsid w:val="004948C6"/>
    <w:rsid w:val="00494907"/>
    <w:rsid w:val="00494A0A"/>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42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9"/>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79B"/>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915"/>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554"/>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C78"/>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BA1"/>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AC9"/>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A8C"/>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B5"/>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04C"/>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4F85"/>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6FDA"/>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7B6"/>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18"/>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2B"/>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3AF"/>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5477"/>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43"/>
    <w:rsid w:val="00711F5E"/>
    <w:rsid w:val="0071265A"/>
    <w:rsid w:val="00712843"/>
    <w:rsid w:val="00712A40"/>
    <w:rsid w:val="00712BB2"/>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3D7"/>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1E4"/>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1ED1"/>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8DF"/>
    <w:rsid w:val="007509F0"/>
    <w:rsid w:val="00751091"/>
    <w:rsid w:val="0075124A"/>
    <w:rsid w:val="007514B2"/>
    <w:rsid w:val="0075161C"/>
    <w:rsid w:val="007519E2"/>
    <w:rsid w:val="00751B2A"/>
    <w:rsid w:val="00751B83"/>
    <w:rsid w:val="00751BF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5FE"/>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A0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6F15"/>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568"/>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5B2"/>
    <w:rsid w:val="007F463D"/>
    <w:rsid w:val="007F4DFB"/>
    <w:rsid w:val="007F4F39"/>
    <w:rsid w:val="007F5022"/>
    <w:rsid w:val="007F5570"/>
    <w:rsid w:val="007F5E10"/>
    <w:rsid w:val="007F5E1E"/>
    <w:rsid w:val="007F614C"/>
    <w:rsid w:val="007F618F"/>
    <w:rsid w:val="007F6486"/>
    <w:rsid w:val="007F648A"/>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A8A"/>
    <w:rsid w:val="00802E74"/>
    <w:rsid w:val="008034B2"/>
    <w:rsid w:val="008036C6"/>
    <w:rsid w:val="00803765"/>
    <w:rsid w:val="00803AC3"/>
    <w:rsid w:val="00803C22"/>
    <w:rsid w:val="00803C9D"/>
    <w:rsid w:val="00803E3C"/>
    <w:rsid w:val="0080404B"/>
    <w:rsid w:val="00804162"/>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73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8C0"/>
    <w:rsid w:val="00826A11"/>
    <w:rsid w:val="00827005"/>
    <w:rsid w:val="008274BF"/>
    <w:rsid w:val="00827AFC"/>
    <w:rsid w:val="00827F7A"/>
    <w:rsid w:val="0083015A"/>
    <w:rsid w:val="008302F9"/>
    <w:rsid w:val="008308E1"/>
    <w:rsid w:val="0083098F"/>
    <w:rsid w:val="008309E5"/>
    <w:rsid w:val="00830BBB"/>
    <w:rsid w:val="00830DC3"/>
    <w:rsid w:val="00830E13"/>
    <w:rsid w:val="00831198"/>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504"/>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5C"/>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6D3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271"/>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C29"/>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88E"/>
    <w:rsid w:val="008959A4"/>
    <w:rsid w:val="00895B8A"/>
    <w:rsid w:val="008962E4"/>
    <w:rsid w:val="008962FA"/>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7C7"/>
    <w:rsid w:val="008B4823"/>
    <w:rsid w:val="008B5099"/>
    <w:rsid w:val="008B50E7"/>
    <w:rsid w:val="008B5299"/>
    <w:rsid w:val="008B52C0"/>
    <w:rsid w:val="008B55F3"/>
    <w:rsid w:val="008B5A5F"/>
    <w:rsid w:val="008B5AB0"/>
    <w:rsid w:val="008B5AFB"/>
    <w:rsid w:val="008B5BB7"/>
    <w:rsid w:val="008B5BCE"/>
    <w:rsid w:val="008B5FB6"/>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932"/>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0D0F"/>
    <w:rsid w:val="00900D1D"/>
    <w:rsid w:val="0090116C"/>
    <w:rsid w:val="009013AD"/>
    <w:rsid w:val="00901BF9"/>
    <w:rsid w:val="00901D69"/>
    <w:rsid w:val="00901DDB"/>
    <w:rsid w:val="00902179"/>
    <w:rsid w:val="0090257E"/>
    <w:rsid w:val="00902AC8"/>
    <w:rsid w:val="00902B96"/>
    <w:rsid w:val="00903495"/>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604"/>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3ED"/>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C9F"/>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5F1B"/>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B27"/>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05B"/>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622"/>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DB7"/>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5E0"/>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696"/>
    <w:rsid w:val="00A33FC1"/>
    <w:rsid w:val="00A34041"/>
    <w:rsid w:val="00A3432B"/>
    <w:rsid w:val="00A3466B"/>
    <w:rsid w:val="00A346BA"/>
    <w:rsid w:val="00A34BD1"/>
    <w:rsid w:val="00A34C67"/>
    <w:rsid w:val="00A34D62"/>
    <w:rsid w:val="00A350B6"/>
    <w:rsid w:val="00A35552"/>
    <w:rsid w:val="00A35689"/>
    <w:rsid w:val="00A3588E"/>
    <w:rsid w:val="00A3596F"/>
    <w:rsid w:val="00A35992"/>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3F0"/>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0FCE"/>
    <w:rsid w:val="00A91048"/>
    <w:rsid w:val="00A9195D"/>
    <w:rsid w:val="00A91B14"/>
    <w:rsid w:val="00A91C02"/>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64"/>
    <w:rsid w:val="00A94BCF"/>
    <w:rsid w:val="00A94BD5"/>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342"/>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494"/>
    <w:rsid w:val="00AB66C6"/>
    <w:rsid w:val="00AB67B4"/>
    <w:rsid w:val="00AB692A"/>
    <w:rsid w:val="00AB7053"/>
    <w:rsid w:val="00AB725F"/>
    <w:rsid w:val="00AB7C69"/>
    <w:rsid w:val="00AC01C9"/>
    <w:rsid w:val="00AC03D9"/>
    <w:rsid w:val="00AC0481"/>
    <w:rsid w:val="00AC05E5"/>
    <w:rsid w:val="00AC0705"/>
    <w:rsid w:val="00AC092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2BA6"/>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0A8"/>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D3B"/>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29B"/>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4EF"/>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1F8"/>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D72"/>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424"/>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229"/>
    <w:rsid w:val="00B746C6"/>
    <w:rsid w:val="00B74F46"/>
    <w:rsid w:val="00B75912"/>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645"/>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54"/>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44"/>
    <w:rsid w:val="00BC00EC"/>
    <w:rsid w:val="00BC01B9"/>
    <w:rsid w:val="00BC08C5"/>
    <w:rsid w:val="00BC0D78"/>
    <w:rsid w:val="00BC0D8C"/>
    <w:rsid w:val="00BC12FB"/>
    <w:rsid w:val="00BC170F"/>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AFE"/>
    <w:rsid w:val="00BC4DAC"/>
    <w:rsid w:val="00BC563F"/>
    <w:rsid w:val="00BC57D0"/>
    <w:rsid w:val="00BC5D90"/>
    <w:rsid w:val="00BC6B13"/>
    <w:rsid w:val="00BC6B4A"/>
    <w:rsid w:val="00BC6FD6"/>
    <w:rsid w:val="00BC73B2"/>
    <w:rsid w:val="00BC7494"/>
    <w:rsid w:val="00BC74CC"/>
    <w:rsid w:val="00BC75C3"/>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48"/>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4FC0"/>
    <w:rsid w:val="00BF5547"/>
    <w:rsid w:val="00BF5552"/>
    <w:rsid w:val="00BF5EDF"/>
    <w:rsid w:val="00BF6207"/>
    <w:rsid w:val="00BF67CD"/>
    <w:rsid w:val="00BF6A20"/>
    <w:rsid w:val="00BF7304"/>
    <w:rsid w:val="00BF7325"/>
    <w:rsid w:val="00BF73F2"/>
    <w:rsid w:val="00BF746E"/>
    <w:rsid w:val="00C005B6"/>
    <w:rsid w:val="00C00957"/>
    <w:rsid w:val="00C00ADF"/>
    <w:rsid w:val="00C00C34"/>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073"/>
    <w:rsid w:val="00C14178"/>
    <w:rsid w:val="00C14632"/>
    <w:rsid w:val="00C1495E"/>
    <w:rsid w:val="00C15F40"/>
    <w:rsid w:val="00C160C3"/>
    <w:rsid w:val="00C16475"/>
    <w:rsid w:val="00C169D5"/>
    <w:rsid w:val="00C16C30"/>
    <w:rsid w:val="00C16E29"/>
    <w:rsid w:val="00C16EB7"/>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41"/>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78"/>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099"/>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77D"/>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E20"/>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F28"/>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081"/>
    <w:rsid w:val="00D1026A"/>
    <w:rsid w:val="00D1037E"/>
    <w:rsid w:val="00D107CF"/>
    <w:rsid w:val="00D10DB1"/>
    <w:rsid w:val="00D10E89"/>
    <w:rsid w:val="00D11367"/>
    <w:rsid w:val="00D11918"/>
    <w:rsid w:val="00D11B0B"/>
    <w:rsid w:val="00D12293"/>
    <w:rsid w:val="00D12342"/>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37F"/>
    <w:rsid w:val="00D175BE"/>
    <w:rsid w:val="00D17B76"/>
    <w:rsid w:val="00D17C3E"/>
    <w:rsid w:val="00D17F4C"/>
    <w:rsid w:val="00D201BE"/>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DB"/>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67A"/>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AA5"/>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2C59"/>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172"/>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D796A"/>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6D12"/>
    <w:rsid w:val="00DE750E"/>
    <w:rsid w:val="00DE7645"/>
    <w:rsid w:val="00DE7C00"/>
    <w:rsid w:val="00DE7E77"/>
    <w:rsid w:val="00DF00C6"/>
    <w:rsid w:val="00DF03E9"/>
    <w:rsid w:val="00DF03ED"/>
    <w:rsid w:val="00DF03FC"/>
    <w:rsid w:val="00DF04EE"/>
    <w:rsid w:val="00DF05D3"/>
    <w:rsid w:val="00DF0604"/>
    <w:rsid w:val="00DF0B3A"/>
    <w:rsid w:val="00DF0BF4"/>
    <w:rsid w:val="00DF179D"/>
    <w:rsid w:val="00DF1BA8"/>
    <w:rsid w:val="00DF1BEB"/>
    <w:rsid w:val="00DF1C3C"/>
    <w:rsid w:val="00DF1E9C"/>
    <w:rsid w:val="00DF22BD"/>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6DC"/>
    <w:rsid w:val="00E0082C"/>
    <w:rsid w:val="00E011D1"/>
    <w:rsid w:val="00E01DAA"/>
    <w:rsid w:val="00E02210"/>
    <w:rsid w:val="00E023E5"/>
    <w:rsid w:val="00E02432"/>
    <w:rsid w:val="00E02AF0"/>
    <w:rsid w:val="00E02B9E"/>
    <w:rsid w:val="00E02C19"/>
    <w:rsid w:val="00E031F6"/>
    <w:rsid w:val="00E03325"/>
    <w:rsid w:val="00E03472"/>
    <w:rsid w:val="00E038ED"/>
    <w:rsid w:val="00E04022"/>
    <w:rsid w:val="00E0433A"/>
    <w:rsid w:val="00E0446A"/>
    <w:rsid w:val="00E045D2"/>
    <w:rsid w:val="00E045F0"/>
    <w:rsid w:val="00E0560D"/>
    <w:rsid w:val="00E05825"/>
    <w:rsid w:val="00E05F24"/>
    <w:rsid w:val="00E06052"/>
    <w:rsid w:val="00E060EF"/>
    <w:rsid w:val="00E066E6"/>
    <w:rsid w:val="00E067EA"/>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23"/>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37CC3"/>
    <w:rsid w:val="00E4037C"/>
    <w:rsid w:val="00E4070C"/>
    <w:rsid w:val="00E40C8A"/>
    <w:rsid w:val="00E41AAD"/>
    <w:rsid w:val="00E41D2B"/>
    <w:rsid w:val="00E4219F"/>
    <w:rsid w:val="00E42208"/>
    <w:rsid w:val="00E424BA"/>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0FA"/>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36B"/>
    <w:rsid w:val="00E63604"/>
    <w:rsid w:val="00E63644"/>
    <w:rsid w:val="00E63A68"/>
    <w:rsid w:val="00E63F25"/>
    <w:rsid w:val="00E63F8B"/>
    <w:rsid w:val="00E6416C"/>
    <w:rsid w:val="00E64424"/>
    <w:rsid w:val="00E645D1"/>
    <w:rsid w:val="00E64C99"/>
    <w:rsid w:val="00E64CD3"/>
    <w:rsid w:val="00E65821"/>
    <w:rsid w:val="00E65D22"/>
    <w:rsid w:val="00E66005"/>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4F01"/>
    <w:rsid w:val="00E8519F"/>
    <w:rsid w:val="00E851CB"/>
    <w:rsid w:val="00E85530"/>
    <w:rsid w:val="00E856F4"/>
    <w:rsid w:val="00E85CC3"/>
    <w:rsid w:val="00E85E9A"/>
    <w:rsid w:val="00E85EA1"/>
    <w:rsid w:val="00E862C6"/>
    <w:rsid w:val="00E8644A"/>
    <w:rsid w:val="00E8658A"/>
    <w:rsid w:val="00E866C3"/>
    <w:rsid w:val="00E86B20"/>
    <w:rsid w:val="00E86EC2"/>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97FCD"/>
    <w:rsid w:val="00EA006B"/>
    <w:rsid w:val="00EA066D"/>
    <w:rsid w:val="00EA0E4A"/>
    <w:rsid w:val="00EA0EDB"/>
    <w:rsid w:val="00EA13DD"/>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BC1"/>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7F4"/>
    <w:rsid w:val="00EE186B"/>
    <w:rsid w:val="00EE1C43"/>
    <w:rsid w:val="00EE1C6E"/>
    <w:rsid w:val="00EE20C3"/>
    <w:rsid w:val="00EE2234"/>
    <w:rsid w:val="00EE2573"/>
    <w:rsid w:val="00EE275B"/>
    <w:rsid w:val="00EE27B7"/>
    <w:rsid w:val="00EE2AFF"/>
    <w:rsid w:val="00EE3415"/>
    <w:rsid w:val="00EE391B"/>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F3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A5B"/>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1FE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7A"/>
    <w:rsid w:val="00F1529F"/>
    <w:rsid w:val="00F15408"/>
    <w:rsid w:val="00F155CE"/>
    <w:rsid w:val="00F16442"/>
    <w:rsid w:val="00F1735F"/>
    <w:rsid w:val="00F176AB"/>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581D"/>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1C1"/>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618"/>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0C"/>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A6B"/>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09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4C3"/>
    <w:rsid w:val="00FA56BF"/>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2C"/>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790"/>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B6F"/>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C7E86"/>
    <w:rsid w:val="00FD015D"/>
    <w:rsid w:val="00FD0286"/>
    <w:rsid w:val="00FD03F1"/>
    <w:rsid w:val="00FD0572"/>
    <w:rsid w:val="00FD0DC8"/>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063"/>
    <w:rsid w:val="00FD5823"/>
    <w:rsid w:val="00FD5C12"/>
    <w:rsid w:val="00FD6059"/>
    <w:rsid w:val="00FD6914"/>
    <w:rsid w:val="00FD76A2"/>
    <w:rsid w:val="00FD77DC"/>
    <w:rsid w:val="00FD78B0"/>
    <w:rsid w:val="00FD7B8E"/>
    <w:rsid w:val="00FD7CDC"/>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8C4"/>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1043411"/>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9659388">
      <w:bodyDiv w:val="1"/>
      <w:marLeft w:val="0"/>
      <w:marRight w:val="0"/>
      <w:marTop w:val="0"/>
      <w:marBottom w:val="0"/>
      <w:divBdr>
        <w:top w:val="none" w:sz="0" w:space="0" w:color="auto"/>
        <w:left w:val="none" w:sz="0" w:space="0" w:color="auto"/>
        <w:bottom w:val="none" w:sz="0" w:space="0" w:color="auto"/>
        <w:right w:val="none" w:sz="0" w:space="0" w:color="auto"/>
      </w:divBdr>
      <w:divsChild>
        <w:div w:id="1784304519">
          <w:marLeft w:val="360"/>
          <w:marRight w:val="0"/>
          <w:marTop w:val="200"/>
          <w:marBottom w:val="0"/>
          <w:divBdr>
            <w:top w:val="none" w:sz="0" w:space="0" w:color="auto"/>
            <w:left w:val="none" w:sz="0" w:space="0" w:color="auto"/>
            <w:bottom w:val="none" w:sz="0" w:space="0" w:color="auto"/>
            <w:right w:val="none" w:sz="0" w:space="0" w:color="auto"/>
          </w:divBdr>
        </w:div>
        <w:div w:id="1519661585">
          <w:marLeft w:val="1080"/>
          <w:marRight w:val="0"/>
          <w:marTop w:val="100"/>
          <w:marBottom w:val="0"/>
          <w:divBdr>
            <w:top w:val="none" w:sz="0" w:space="0" w:color="auto"/>
            <w:left w:val="none" w:sz="0" w:space="0" w:color="auto"/>
            <w:bottom w:val="none" w:sz="0" w:space="0" w:color="auto"/>
            <w:right w:val="none" w:sz="0" w:space="0" w:color="auto"/>
          </w:divBdr>
        </w:div>
        <w:div w:id="1676151338">
          <w:marLeft w:val="108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2315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3104682">
      <w:bodyDiv w:val="1"/>
      <w:marLeft w:val="0"/>
      <w:marRight w:val="0"/>
      <w:marTop w:val="0"/>
      <w:marBottom w:val="0"/>
      <w:divBdr>
        <w:top w:val="none" w:sz="0" w:space="0" w:color="auto"/>
        <w:left w:val="none" w:sz="0" w:space="0" w:color="auto"/>
        <w:bottom w:val="none" w:sz="0" w:space="0" w:color="auto"/>
        <w:right w:val="none" w:sz="0" w:space="0" w:color="auto"/>
      </w:divBdr>
      <w:divsChild>
        <w:div w:id="578909945">
          <w:marLeft w:val="1080"/>
          <w:marRight w:val="0"/>
          <w:marTop w:val="100"/>
          <w:marBottom w:val="0"/>
          <w:divBdr>
            <w:top w:val="none" w:sz="0" w:space="0" w:color="auto"/>
            <w:left w:val="none" w:sz="0" w:space="0" w:color="auto"/>
            <w:bottom w:val="none" w:sz="0" w:space="0" w:color="auto"/>
            <w:right w:val="none" w:sz="0" w:space="0" w:color="auto"/>
          </w:divBdr>
        </w:div>
        <w:div w:id="2046983875">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834105">
      <w:bodyDiv w:val="1"/>
      <w:marLeft w:val="0"/>
      <w:marRight w:val="0"/>
      <w:marTop w:val="0"/>
      <w:marBottom w:val="0"/>
      <w:divBdr>
        <w:top w:val="none" w:sz="0" w:space="0" w:color="auto"/>
        <w:left w:val="none" w:sz="0" w:space="0" w:color="auto"/>
        <w:bottom w:val="none" w:sz="0" w:space="0" w:color="auto"/>
        <w:right w:val="none" w:sz="0" w:space="0" w:color="auto"/>
      </w:divBdr>
    </w:div>
    <w:div w:id="754939347">
      <w:bodyDiv w:val="1"/>
      <w:marLeft w:val="0"/>
      <w:marRight w:val="0"/>
      <w:marTop w:val="0"/>
      <w:marBottom w:val="0"/>
      <w:divBdr>
        <w:top w:val="none" w:sz="0" w:space="0" w:color="auto"/>
        <w:left w:val="none" w:sz="0" w:space="0" w:color="auto"/>
        <w:bottom w:val="none" w:sz="0" w:space="0" w:color="auto"/>
        <w:right w:val="none" w:sz="0" w:space="0" w:color="auto"/>
      </w:divBdr>
      <w:divsChild>
        <w:div w:id="1875995656">
          <w:marLeft w:val="806"/>
          <w:marRight w:val="0"/>
          <w:marTop w:val="200"/>
          <w:marBottom w:val="0"/>
          <w:divBdr>
            <w:top w:val="none" w:sz="0" w:space="0" w:color="auto"/>
            <w:left w:val="none" w:sz="0" w:space="0" w:color="auto"/>
            <w:bottom w:val="none" w:sz="0" w:space="0" w:color="auto"/>
            <w:right w:val="none" w:sz="0" w:space="0" w:color="auto"/>
          </w:divBdr>
        </w:div>
        <w:div w:id="1251348625">
          <w:marLeft w:val="806"/>
          <w:marRight w:val="0"/>
          <w:marTop w:val="200"/>
          <w:marBottom w:val="0"/>
          <w:divBdr>
            <w:top w:val="none" w:sz="0" w:space="0" w:color="auto"/>
            <w:left w:val="none" w:sz="0" w:space="0" w:color="auto"/>
            <w:bottom w:val="none" w:sz="0" w:space="0" w:color="auto"/>
            <w:right w:val="none" w:sz="0" w:space="0" w:color="auto"/>
          </w:divBdr>
        </w:div>
        <w:div w:id="794298964">
          <w:marLeft w:val="1440"/>
          <w:marRight w:val="0"/>
          <w:marTop w:val="100"/>
          <w:marBottom w:val="0"/>
          <w:divBdr>
            <w:top w:val="none" w:sz="0" w:space="0" w:color="auto"/>
            <w:left w:val="none" w:sz="0" w:space="0" w:color="auto"/>
            <w:bottom w:val="none" w:sz="0" w:space="0" w:color="auto"/>
            <w:right w:val="none" w:sz="0" w:space="0" w:color="auto"/>
          </w:divBdr>
        </w:div>
        <w:div w:id="1166021737">
          <w:marLeft w:val="1440"/>
          <w:marRight w:val="0"/>
          <w:marTop w:val="100"/>
          <w:marBottom w:val="0"/>
          <w:divBdr>
            <w:top w:val="none" w:sz="0" w:space="0" w:color="auto"/>
            <w:left w:val="none" w:sz="0" w:space="0" w:color="auto"/>
            <w:bottom w:val="none" w:sz="0" w:space="0" w:color="auto"/>
            <w:right w:val="none" w:sz="0" w:space="0" w:color="auto"/>
          </w:divBdr>
        </w:div>
        <w:div w:id="2032488386">
          <w:marLeft w:val="1440"/>
          <w:marRight w:val="0"/>
          <w:marTop w:val="100"/>
          <w:marBottom w:val="0"/>
          <w:divBdr>
            <w:top w:val="none" w:sz="0" w:space="0" w:color="auto"/>
            <w:left w:val="none" w:sz="0" w:space="0" w:color="auto"/>
            <w:bottom w:val="none" w:sz="0" w:space="0" w:color="auto"/>
            <w:right w:val="none" w:sz="0" w:space="0" w:color="auto"/>
          </w:divBdr>
        </w:div>
        <w:div w:id="1991060226">
          <w:marLeft w:val="1800"/>
          <w:marRight w:val="0"/>
          <w:marTop w:val="100"/>
          <w:marBottom w:val="0"/>
          <w:divBdr>
            <w:top w:val="none" w:sz="0" w:space="0" w:color="auto"/>
            <w:left w:val="none" w:sz="0" w:space="0" w:color="auto"/>
            <w:bottom w:val="none" w:sz="0" w:space="0" w:color="auto"/>
            <w:right w:val="none" w:sz="0" w:space="0" w:color="auto"/>
          </w:divBdr>
        </w:div>
        <w:div w:id="263341559">
          <w:marLeft w:val="1800"/>
          <w:marRight w:val="0"/>
          <w:marTop w:val="100"/>
          <w:marBottom w:val="0"/>
          <w:divBdr>
            <w:top w:val="none" w:sz="0" w:space="0" w:color="auto"/>
            <w:left w:val="none" w:sz="0" w:space="0" w:color="auto"/>
            <w:bottom w:val="none" w:sz="0" w:space="0" w:color="auto"/>
            <w:right w:val="none" w:sz="0" w:space="0" w:color="auto"/>
          </w:divBdr>
        </w:div>
        <w:div w:id="1858932801">
          <w:marLeft w:val="1440"/>
          <w:marRight w:val="0"/>
          <w:marTop w:val="100"/>
          <w:marBottom w:val="0"/>
          <w:divBdr>
            <w:top w:val="none" w:sz="0" w:space="0" w:color="auto"/>
            <w:left w:val="none" w:sz="0" w:space="0" w:color="auto"/>
            <w:bottom w:val="none" w:sz="0" w:space="0" w:color="auto"/>
            <w:right w:val="none" w:sz="0" w:space="0" w:color="auto"/>
          </w:divBdr>
        </w:div>
        <w:div w:id="1301037690">
          <w:marLeft w:val="1440"/>
          <w:marRight w:val="0"/>
          <w:marTop w:val="100"/>
          <w:marBottom w:val="0"/>
          <w:divBdr>
            <w:top w:val="none" w:sz="0" w:space="0" w:color="auto"/>
            <w:left w:val="none" w:sz="0" w:space="0" w:color="auto"/>
            <w:bottom w:val="none" w:sz="0" w:space="0" w:color="auto"/>
            <w:right w:val="none" w:sz="0" w:space="0" w:color="auto"/>
          </w:divBdr>
        </w:div>
        <w:div w:id="1984846853">
          <w:marLeft w:val="1440"/>
          <w:marRight w:val="0"/>
          <w:marTop w:val="100"/>
          <w:marBottom w:val="0"/>
          <w:divBdr>
            <w:top w:val="none" w:sz="0" w:space="0" w:color="auto"/>
            <w:left w:val="none" w:sz="0" w:space="0" w:color="auto"/>
            <w:bottom w:val="none" w:sz="0" w:space="0" w:color="auto"/>
            <w:right w:val="none" w:sz="0" w:space="0" w:color="auto"/>
          </w:divBdr>
        </w:div>
        <w:div w:id="1728533262">
          <w:marLeft w:val="806"/>
          <w:marRight w:val="0"/>
          <w:marTop w:val="200"/>
          <w:marBottom w:val="0"/>
          <w:divBdr>
            <w:top w:val="none" w:sz="0" w:space="0" w:color="auto"/>
            <w:left w:val="none" w:sz="0" w:space="0" w:color="auto"/>
            <w:bottom w:val="none" w:sz="0" w:space="0" w:color="auto"/>
            <w:right w:val="none" w:sz="0" w:space="0" w:color="auto"/>
          </w:divBdr>
        </w:div>
        <w:div w:id="96293421">
          <w:marLeft w:val="720"/>
          <w:marRight w:val="0"/>
          <w:marTop w:val="2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16287639">
      <w:bodyDiv w:val="1"/>
      <w:marLeft w:val="0"/>
      <w:marRight w:val="0"/>
      <w:marTop w:val="0"/>
      <w:marBottom w:val="0"/>
      <w:divBdr>
        <w:top w:val="none" w:sz="0" w:space="0" w:color="auto"/>
        <w:left w:val="none" w:sz="0" w:space="0" w:color="auto"/>
        <w:bottom w:val="none" w:sz="0" w:space="0" w:color="auto"/>
        <w:right w:val="none" w:sz="0" w:space="0" w:color="auto"/>
      </w:divBdr>
      <w:divsChild>
        <w:div w:id="564726042">
          <w:marLeft w:val="1080"/>
          <w:marRight w:val="0"/>
          <w:marTop w:val="100"/>
          <w:marBottom w:val="0"/>
          <w:divBdr>
            <w:top w:val="none" w:sz="0" w:space="0" w:color="auto"/>
            <w:left w:val="none" w:sz="0" w:space="0" w:color="auto"/>
            <w:bottom w:val="none" w:sz="0" w:space="0" w:color="auto"/>
            <w:right w:val="none" w:sz="0" w:space="0" w:color="auto"/>
          </w:divBdr>
        </w:div>
        <w:div w:id="962417477">
          <w:marLeft w:val="1800"/>
          <w:marRight w:val="0"/>
          <w:marTop w:val="100"/>
          <w:marBottom w:val="0"/>
          <w:divBdr>
            <w:top w:val="none" w:sz="0" w:space="0" w:color="auto"/>
            <w:left w:val="none" w:sz="0" w:space="0" w:color="auto"/>
            <w:bottom w:val="none" w:sz="0" w:space="0" w:color="auto"/>
            <w:right w:val="none" w:sz="0" w:space="0" w:color="auto"/>
          </w:divBdr>
        </w:div>
        <w:div w:id="281495558">
          <w:marLeft w:val="180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4821755">
      <w:bodyDiv w:val="1"/>
      <w:marLeft w:val="0"/>
      <w:marRight w:val="0"/>
      <w:marTop w:val="0"/>
      <w:marBottom w:val="0"/>
      <w:divBdr>
        <w:top w:val="none" w:sz="0" w:space="0" w:color="auto"/>
        <w:left w:val="none" w:sz="0" w:space="0" w:color="auto"/>
        <w:bottom w:val="none" w:sz="0" w:space="0" w:color="auto"/>
        <w:right w:val="none" w:sz="0" w:space="0" w:color="auto"/>
      </w:divBdr>
      <w:divsChild>
        <w:div w:id="1164590419">
          <w:marLeft w:val="360"/>
          <w:marRight w:val="0"/>
          <w:marTop w:val="2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058750005">
      <w:bodyDiv w:val="1"/>
      <w:marLeft w:val="0"/>
      <w:marRight w:val="0"/>
      <w:marTop w:val="0"/>
      <w:marBottom w:val="0"/>
      <w:divBdr>
        <w:top w:val="none" w:sz="0" w:space="0" w:color="auto"/>
        <w:left w:val="none" w:sz="0" w:space="0" w:color="auto"/>
        <w:bottom w:val="none" w:sz="0" w:space="0" w:color="auto"/>
        <w:right w:val="none" w:sz="0" w:space="0" w:color="auto"/>
      </w:divBdr>
      <w:divsChild>
        <w:div w:id="854346543">
          <w:marLeft w:val="1800"/>
          <w:marRight w:val="0"/>
          <w:marTop w:val="100"/>
          <w:marBottom w:val="0"/>
          <w:divBdr>
            <w:top w:val="none" w:sz="0" w:space="0" w:color="auto"/>
            <w:left w:val="none" w:sz="0" w:space="0" w:color="auto"/>
            <w:bottom w:val="none" w:sz="0" w:space="0" w:color="auto"/>
            <w:right w:val="none" w:sz="0" w:space="0" w:color="auto"/>
          </w:divBdr>
        </w:div>
        <w:div w:id="1103917607">
          <w:marLeft w:val="2520"/>
          <w:marRight w:val="0"/>
          <w:marTop w:val="100"/>
          <w:marBottom w:val="0"/>
          <w:divBdr>
            <w:top w:val="none" w:sz="0" w:space="0" w:color="auto"/>
            <w:left w:val="none" w:sz="0" w:space="0" w:color="auto"/>
            <w:bottom w:val="none" w:sz="0" w:space="0" w:color="auto"/>
            <w:right w:val="none" w:sz="0" w:space="0" w:color="auto"/>
          </w:divBdr>
        </w:div>
        <w:div w:id="967399652">
          <w:marLeft w:val="252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697458">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4269731">
      <w:bodyDiv w:val="1"/>
      <w:marLeft w:val="0"/>
      <w:marRight w:val="0"/>
      <w:marTop w:val="0"/>
      <w:marBottom w:val="0"/>
      <w:divBdr>
        <w:top w:val="none" w:sz="0" w:space="0" w:color="auto"/>
        <w:left w:val="none" w:sz="0" w:space="0" w:color="auto"/>
        <w:bottom w:val="none" w:sz="0" w:space="0" w:color="auto"/>
        <w:right w:val="none" w:sz="0" w:space="0" w:color="auto"/>
      </w:divBdr>
      <w:divsChild>
        <w:div w:id="394817445">
          <w:marLeft w:val="108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41854213">
      <w:bodyDiv w:val="1"/>
      <w:marLeft w:val="0"/>
      <w:marRight w:val="0"/>
      <w:marTop w:val="0"/>
      <w:marBottom w:val="0"/>
      <w:divBdr>
        <w:top w:val="none" w:sz="0" w:space="0" w:color="auto"/>
        <w:left w:val="none" w:sz="0" w:space="0" w:color="auto"/>
        <w:bottom w:val="none" w:sz="0" w:space="0" w:color="auto"/>
        <w:right w:val="none" w:sz="0" w:space="0" w:color="auto"/>
      </w:divBdr>
      <w:divsChild>
        <w:div w:id="1954164898">
          <w:marLeft w:val="1080"/>
          <w:marRight w:val="0"/>
          <w:marTop w:val="100"/>
          <w:marBottom w:val="0"/>
          <w:divBdr>
            <w:top w:val="none" w:sz="0" w:space="0" w:color="auto"/>
            <w:left w:val="none" w:sz="0" w:space="0" w:color="auto"/>
            <w:bottom w:val="none" w:sz="0" w:space="0" w:color="auto"/>
            <w:right w:val="none" w:sz="0" w:space="0" w:color="auto"/>
          </w:divBdr>
        </w:div>
      </w:divsChild>
    </w:div>
    <w:div w:id="1389457585">
      <w:bodyDiv w:val="1"/>
      <w:marLeft w:val="0"/>
      <w:marRight w:val="0"/>
      <w:marTop w:val="0"/>
      <w:marBottom w:val="0"/>
      <w:divBdr>
        <w:top w:val="none" w:sz="0" w:space="0" w:color="auto"/>
        <w:left w:val="none" w:sz="0" w:space="0" w:color="auto"/>
        <w:bottom w:val="none" w:sz="0" w:space="0" w:color="auto"/>
        <w:right w:val="none" w:sz="0" w:space="0" w:color="auto"/>
      </w:divBdr>
      <w:divsChild>
        <w:div w:id="1746493809">
          <w:marLeft w:val="360"/>
          <w:marRight w:val="0"/>
          <w:marTop w:val="2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7365218">
      <w:bodyDiv w:val="1"/>
      <w:marLeft w:val="0"/>
      <w:marRight w:val="0"/>
      <w:marTop w:val="0"/>
      <w:marBottom w:val="0"/>
      <w:divBdr>
        <w:top w:val="none" w:sz="0" w:space="0" w:color="auto"/>
        <w:left w:val="none" w:sz="0" w:space="0" w:color="auto"/>
        <w:bottom w:val="none" w:sz="0" w:space="0" w:color="auto"/>
        <w:right w:val="none" w:sz="0" w:space="0" w:color="auto"/>
      </w:divBdr>
    </w:div>
    <w:div w:id="1515535236">
      <w:bodyDiv w:val="1"/>
      <w:marLeft w:val="0"/>
      <w:marRight w:val="0"/>
      <w:marTop w:val="0"/>
      <w:marBottom w:val="0"/>
      <w:divBdr>
        <w:top w:val="none" w:sz="0" w:space="0" w:color="auto"/>
        <w:left w:val="none" w:sz="0" w:space="0" w:color="auto"/>
        <w:bottom w:val="none" w:sz="0" w:space="0" w:color="auto"/>
        <w:right w:val="none" w:sz="0" w:space="0" w:color="auto"/>
      </w:divBdr>
      <w:divsChild>
        <w:div w:id="1345016761">
          <w:marLeft w:val="1080"/>
          <w:marRight w:val="0"/>
          <w:marTop w:val="100"/>
          <w:marBottom w:val="0"/>
          <w:divBdr>
            <w:top w:val="none" w:sz="0" w:space="0" w:color="auto"/>
            <w:left w:val="none" w:sz="0" w:space="0" w:color="auto"/>
            <w:bottom w:val="none" w:sz="0" w:space="0" w:color="auto"/>
            <w:right w:val="none" w:sz="0" w:space="0" w:color="auto"/>
          </w:divBdr>
        </w:div>
        <w:div w:id="125634269">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sChild>
        <w:div w:id="469250394">
          <w:marLeft w:val="1080"/>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164672">
      <w:bodyDiv w:val="1"/>
      <w:marLeft w:val="0"/>
      <w:marRight w:val="0"/>
      <w:marTop w:val="0"/>
      <w:marBottom w:val="0"/>
      <w:divBdr>
        <w:top w:val="none" w:sz="0" w:space="0" w:color="auto"/>
        <w:left w:val="none" w:sz="0" w:space="0" w:color="auto"/>
        <w:bottom w:val="none" w:sz="0" w:space="0" w:color="auto"/>
        <w:right w:val="none" w:sz="0" w:space="0" w:color="auto"/>
      </w:divBdr>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325291">
      <w:bodyDiv w:val="1"/>
      <w:marLeft w:val="0"/>
      <w:marRight w:val="0"/>
      <w:marTop w:val="0"/>
      <w:marBottom w:val="0"/>
      <w:divBdr>
        <w:top w:val="none" w:sz="0" w:space="0" w:color="auto"/>
        <w:left w:val="none" w:sz="0" w:space="0" w:color="auto"/>
        <w:bottom w:val="none" w:sz="0" w:space="0" w:color="auto"/>
        <w:right w:val="none" w:sz="0" w:space="0" w:color="auto"/>
      </w:divBdr>
      <w:divsChild>
        <w:div w:id="151681528">
          <w:marLeft w:val="806"/>
          <w:marRight w:val="0"/>
          <w:marTop w:val="200"/>
          <w:marBottom w:val="0"/>
          <w:divBdr>
            <w:top w:val="none" w:sz="0" w:space="0" w:color="auto"/>
            <w:left w:val="none" w:sz="0" w:space="0" w:color="auto"/>
            <w:bottom w:val="none" w:sz="0" w:space="0" w:color="auto"/>
            <w:right w:val="none" w:sz="0" w:space="0" w:color="auto"/>
          </w:divBdr>
        </w:div>
        <w:div w:id="1900555823">
          <w:marLeft w:val="806"/>
          <w:marRight w:val="0"/>
          <w:marTop w:val="200"/>
          <w:marBottom w:val="0"/>
          <w:divBdr>
            <w:top w:val="none" w:sz="0" w:space="0" w:color="auto"/>
            <w:left w:val="none" w:sz="0" w:space="0" w:color="auto"/>
            <w:bottom w:val="none" w:sz="0" w:space="0" w:color="auto"/>
            <w:right w:val="none" w:sz="0" w:space="0" w:color="auto"/>
          </w:divBdr>
        </w:div>
        <w:div w:id="1930960947">
          <w:marLeft w:val="1440"/>
          <w:marRight w:val="0"/>
          <w:marTop w:val="100"/>
          <w:marBottom w:val="0"/>
          <w:divBdr>
            <w:top w:val="none" w:sz="0" w:space="0" w:color="auto"/>
            <w:left w:val="none" w:sz="0" w:space="0" w:color="auto"/>
            <w:bottom w:val="none" w:sz="0" w:space="0" w:color="auto"/>
            <w:right w:val="none" w:sz="0" w:space="0" w:color="auto"/>
          </w:divBdr>
        </w:div>
        <w:div w:id="1861551384">
          <w:marLeft w:val="1440"/>
          <w:marRight w:val="0"/>
          <w:marTop w:val="100"/>
          <w:marBottom w:val="0"/>
          <w:divBdr>
            <w:top w:val="none" w:sz="0" w:space="0" w:color="auto"/>
            <w:left w:val="none" w:sz="0" w:space="0" w:color="auto"/>
            <w:bottom w:val="none" w:sz="0" w:space="0" w:color="auto"/>
            <w:right w:val="none" w:sz="0" w:space="0" w:color="auto"/>
          </w:divBdr>
        </w:div>
        <w:div w:id="1433015930">
          <w:marLeft w:val="1440"/>
          <w:marRight w:val="0"/>
          <w:marTop w:val="100"/>
          <w:marBottom w:val="0"/>
          <w:divBdr>
            <w:top w:val="none" w:sz="0" w:space="0" w:color="auto"/>
            <w:left w:val="none" w:sz="0" w:space="0" w:color="auto"/>
            <w:bottom w:val="none" w:sz="0" w:space="0" w:color="auto"/>
            <w:right w:val="none" w:sz="0" w:space="0" w:color="auto"/>
          </w:divBdr>
        </w:div>
        <w:div w:id="125589858">
          <w:marLeft w:val="1800"/>
          <w:marRight w:val="0"/>
          <w:marTop w:val="100"/>
          <w:marBottom w:val="0"/>
          <w:divBdr>
            <w:top w:val="none" w:sz="0" w:space="0" w:color="auto"/>
            <w:left w:val="none" w:sz="0" w:space="0" w:color="auto"/>
            <w:bottom w:val="none" w:sz="0" w:space="0" w:color="auto"/>
            <w:right w:val="none" w:sz="0" w:space="0" w:color="auto"/>
          </w:divBdr>
        </w:div>
        <w:div w:id="1720133289">
          <w:marLeft w:val="1800"/>
          <w:marRight w:val="0"/>
          <w:marTop w:val="100"/>
          <w:marBottom w:val="0"/>
          <w:divBdr>
            <w:top w:val="none" w:sz="0" w:space="0" w:color="auto"/>
            <w:left w:val="none" w:sz="0" w:space="0" w:color="auto"/>
            <w:bottom w:val="none" w:sz="0" w:space="0" w:color="auto"/>
            <w:right w:val="none" w:sz="0" w:space="0" w:color="auto"/>
          </w:divBdr>
        </w:div>
        <w:div w:id="390620622">
          <w:marLeft w:val="1440"/>
          <w:marRight w:val="0"/>
          <w:marTop w:val="100"/>
          <w:marBottom w:val="0"/>
          <w:divBdr>
            <w:top w:val="none" w:sz="0" w:space="0" w:color="auto"/>
            <w:left w:val="none" w:sz="0" w:space="0" w:color="auto"/>
            <w:bottom w:val="none" w:sz="0" w:space="0" w:color="auto"/>
            <w:right w:val="none" w:sz="0" w:space="0" w:color="auto"/>
          </w:divBdr>
        </w:div>
        <w:div w:id="1293439247">
          <w:marLeft w:val="1440"/>
          <w:marRight w:val="0"/>
          <w:marTop w:val="100"/>
          <w:marBottom w:val="0"/>
          <w:divBdr>
            <w:top w:val="none" w:sz="0" w:space="0" w:color="auto"/>
            <w:left w:val="none" w:sz="0" w:space="0" w:color="auto"/>
            <w:bottom w:val="none" w:sz="0" w:space="0" w:color="auto"/>
            <w:right w:val="none" w:sz="0" w:space="0" w:color="auto"/>
          </w:divBdr>
        </w:div>
        <w:div w:id="834078621">
          <w:marLeft w:val="1440"/>
          <w:marRight w:val="0"/>
          <w:marTop w:val="100"/>
          <w:marBottom w:val="0"/>
          <w:divBdr>
            <w:top w:val="none" w:sz="0" w:space="0" w:color="auto"/>
            <w:left w:val="none" w:sz="0" w:space="0" w:color="auto"/>
            <w:bottom w:val="none" w:sz="0" w:space="0" w:color="auto"/>
            <w:right w:val="none" w:sz="0" w:space="0" w:color="auto"/>
          </w:divBdr>
        </w:div>
        <w:div w:id="1296522334">
          <w:marLeft w:val="806"/>
          <w:marRight w:val="0"/>
          <w:marTop w:val="200"/>
          <w:marBottom w:val="0"/>
          <w:divBdr>
            <w:top w:val="none" w:sz="0" w:space="0" w:color="auto"/>
            <w:left w:val="none" w:sz="0" w:space="0" w:color="auto"/>
            <w:bottom w:val="none" w:sz="0" w:space="0" w:color="auto"/>
            <w:right w:val="none" w:sz="0" w:space="0" w:color="auto"/>
          </w:divBdr>
        </w:div>
        <w:div w:id="1072970859">
          <w:marLeft w:val="720"/>
          <w:marRight w:val="0"/>
          <w:marTop w:val="200"/>
          <w:marBottom w:val="0"/>
          <w:divBdr>
            <w:top w:val="none" w:sz="0" w:space="0" w:color="auto"/>
            <w:left w:val="none" w:sz="0" w:space="0" w:color="auto"/>
            <w:bottom w:val="none" w:sz="0" w:space="0" w:color="auto"/>
            <w:right w:val="none" w:sz="0" w:space="0" w:color="auto"/>
          </w:divBdr>
        </w:div>
      </w:divsChild>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BB8E7-B649-4888-B89C-987CCD3C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3</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28</cp:revision>
  <cp:lastPrinted>2016-08-12T06:06:00Z</cp:lastPrinted>
  <dcterms:created xsi:type="dcterms:W3CDTF">2020-02-12T17:05:00Z</dcterms:created>
  <dcterms:modified xsi:type="dcterms:W3CDTF">2020-02-13T15:28:00Z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